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37 vom 20. Juli 2023</w:t>
      </w:r>
    </w:p>
    <w:p>
      <w:r>
        <w:t>GR Gerichte, 2023-07-20, DE</w:t>
      </w:r>
    </w:p>
    <w:p>
      <w:r>
        <w:rPr>
          <w:b/>
        </w:rPr>
        <w:t xml:space="preserve">Quelle: </w:t>
      </w:r>
      <w:r>
        <w:t>https://mcp.opencaselaw.ch/entscheid/gr_gerichte_ZK2 2023 37</w:t>
      </w:r>
    </w:p>
    <w:p>
      <w:r>
        <w:t>FR: GR_GERICHTE ZK2 2023 37 du 20 juillet 2023</w:t>
      </w:r>
    </w:p>
    <w:p>
      <w:r>
        <w:t>IT: GR_GERICHTE ZK2 2023 37 del 20 luglio 2023</w:t>
      </w:r>
    </w:p>
    <w:p>
      <w:pPr>
        <w:pStyle w:val="Heading2"/>
      </w:pPr>
      <w:r>
        <w:t>Regeste</w:t>
      </w:r>
    </w:p>
    <w:p>
      <w:r>
        <w:t>Forderung aus Arbeitsvertrag | Berufung OR Arbeitsvertrag</w:t>
      </w:r>
    </w:p>
    <w:p>
      <w:pPr>
        <w:pStyle w:val="Heading2"/>
      </w:pPr>
      <w:r>
        <w:t>Erwägungen</w:t>
      </w:r>
    </w:p>
    <w:p>
      <w:r>
        <w:rPr>
          <w:b/>
        </w:rPr>
        <w:t>E. 2</w:t>
      </w:r>
    </w:p>
    <w:p>
      <w:r>
        <w:t>Die eingereichte Berufung (act. A.1) und Beschwerde (act. A.2) enthalten weder ein Rechtsbegehren noch eine Begründung. Auch auf das Schreiben vom 13. Juni 2023 (act. D.1), in welchem das Kantonsgericht die Berufungsklägerin und Beschwerdeführerin darauf hinwies, dass eine Fristerstreckung nicht möglich und allenfalls ein Wiederherstellungsgesuch einzureichen sei, erfolgte keine Ant- wort. Auf die Berufung und die Beschwerde ist somit aufgrund fehlender Begrün- dung nicht einzutreten. 3.1. Selbst wenn man die Eingaben vom 9. Juni 2023 (act. A.1 und A.2) nicht nur als Rechtsmittelschriften, sondern auch als Wiederherstellungsgesuche quali- fizieren würde, wären diese abzuweisen, sofern darauf überhaupt eingetreten</w:t>
      </w:r>
    </w:p>
    <w:p>
      <w:r>
        <w:rPr>
          <w:b/>
        </w:rPr>
        <w:t>E. 4</w:t>
      </w:r>
    </w:p>
    <w:p>
      <w:r>
        <w:t>/ 6 werden könnte. Das Wiederherstellungsgesuch muss die Gründe für die beantrag- te Wiederherstellung benennen und diese soweit möglich durch entsprechende Nachweise belegen (vgl. Niccolò Gozzi, in: Spühler/Tenchio/Infanger [Hrsg.], Bas- ler Kommentar, Schweizerische Zivilprozessordnung, 3. Aufl., Basel 2017, N 39 zu Art. 148 ZPO). Ein Unfall oder eine plötzliche Erkrankung der Partei kann grundsätzlich eine Wiederherstellung rechtfertigen. Dies setzt jedoch voraus, dass die Partei bzw. deren Vertreter durch den Unfall oder die Krankheit effektiv davon abgehalten wird, selber innert Frist zu handeln oder eine Drittperson mit der Vor- nahme der Prozesshandlung zu betrauen. Sobald es für den Betroffenen objektiv und subjektiv zumutbar wird, selbst tätig zu werden oder die Interessenwahrung an einen Dritten zu übertragen, liegt kein die Wiederherstellung rechtfertigendes Hindernis mehr vor (BGer 6S.54/2006 v. 2.11.2006 E. 2.2.1; BGE 119 II 86 E. 2a; 112 V 255 E. 2a). Von Bedeutung ist zudem der Zeitpunkt der Erkrankung bzw. des Unfalls. Nur wenn diese am Ende einer Frist liegt bzw. sich mit dem Termin überschneidet, kann von der Unzumutbarkeit eigenen Handelns oder der Beauf- tragung eines Dritten ausgegangen werden. Erkrankt die Partei bzw. deren Vertre- ter hingegen eine gewisse Zeit vor Fristablauf bzw. dem Termin, ist sie in der Re- gel in der Lage, selber zu handeln oder die Dienste eines Dritten in Anspruch zu nehmen (Gozzi, a.a.O., N 20 zu Art. 148 ZPO). 3.2. Die Berufungsklägerin und Beschwerdeführerin bringt in ihrem Schreiben lediglich vor, dass sie aus gesundheitlichen Gründen und in Anbetracht, dass sie derzeit keinen Rechtsbeistand zur Verfügung habe, eine Fristerstreckung benöti- ge. Im von ihr beigelegten ärztlichen Bericht wird ihr eine posttraumatische Belas- tungsstörung und eine emotional instabile Persönlichkeitsstörung attestiert, welche sich durch ausgeprägte muskuläre Anspannung, Hyperarousal, Panikattacken und ausgeprägte Durchschlafstörungen bemerkbar mache. Weder im ärztlichen Be- richt noch im Schreiben der Berufungsklägerin und Beschwerdeführerin wird dar- gelegt, ob und inwieweit die aufgeführten Erkrankungen ihre Fähigkeiten zur Ein- reichung eines Rechtsmittels oder ihre generelle Arbeitsfähigkeit beeinträchtigen. Aufgrund der sehr allgemein gehaltenen Ausführungen im ärztlichen Bericht lässt sich die objektive und subjektive Zumutbarkeit in Bezug auf die Ausführung von Prozesshandlungen nicht beurteilen. Gemäss den vorinstanzlichen Akten leidet die Berufungsklägerin und Beschwerdeführerin zudem bereits seit der Auseinan- dersetzung mit ihrem ehemaligen Arbeitgeber und Lebenspartner im November 2019 an den vorgebrachten gesundheitlichen Beeinträchtigungen (RG act. II.7 und II.8). Sie ist somit nicht erst am Ende der abgelaufenen Frist erkrankt, sondern schon seit längerer Zeit, weshalb grundsätzlich davon auszugehen wäre, dass sie in der Lage sein sollte selber zu handeln oder zumindest die Dienste eines Dritten</w:t>
      </w:r>
    </w:p>
    <w:p>
      <w:r>
        <w:rPr>
          <w:b/>
        </w:rPr>
        <w:t>E. 5</w:t>
      </w:r>
    </w:p>
    <w:p>
      <w:r>
        <w:t>Die Gerichtskosten werden in Anwendung von Art. 9, 10 und 13 VGZ (BR 320.210) auf CHF 500.00 festgesetzt und gemäss Art. 106 Abs. 1 ZPO der Beru- fungsklägerin und Beschwerdeführerin auferlegt. Die Zusprechung einer Parteien- tschädigung an die Berufungsbeklagte und Beschwerdegegnerin erübrigt sich, da keine Berufungs- und Beschwerdeantwort eingeholt wurde.</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